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0EADC7" w14:textId="77777777" w:rsidR="00D90DF0" w:rsidRPr="00D90DF0" w:rsidRDefault="00D90DF0" w:rsidP="00D90DF0">
      <w:pPr>
        <w:pStyle w:val="GPSL3numberedclause"/>
        <w:numPr>
          <w:ilvl w:val="0"/>
          <w:numId w:val="0"/>
        </w:numPr>
        <w:rPr>
          <w:rFonts w:ascii="Arial" w:hAnsi="Arial"/>
          <w:b/>
          <w:sz w:val="36"/>
          <w:szCs w:val="36"/>
        </w:rPr>
      </w:pPr>
    </w:p>
    <w:p w14:paraId="680EADC8" w14:textId="77777777" w:rsidR="004A37A5" w:rsidRPr="00D90DF0" w:rsidRDefault="004A37A5" w:rsidP="004A37A5">
      <w:pPr>
        <w:keepNext/>
        <w:jc w:val="left"/>
        <w:outlineLvl w:val="1"/>
        <w:rPr>
          <w:rFonts w:ascii="Arial" w:eastAsia="Calibri" w:hAnsi="Arial"/>
          <w:b/>
          <w:sz w:val="36"/>
          <w:szCs w:val="36"/>
        </w:rPr>
      </w:pPr>
      <w:r w:rsidRPr="00D90DF0">
        <w:rPr>
          <w:rFonts w:ascii="Arial" w:eastAsia="Calibri" w:hAnsi="Arial"/>
          <w:b/>
          <w:sz w:val="36"/>
          <w:szCs w:val="36"/>
        </w:rPr>
        <w:t xml:space="preserve">Call-Off Schedule 16 </w:t>
      </w:r>
      <w:r w:rsidR="00D90DF0">
        <w:rPr>
          <w:rFonts w:ascii="Arial" w:eastAsia="Calibri" w:hAnsi="Arial"/>
          <w:b/>
          <w:sz w:val="36"/>
          <w:szCs w:val="36"/>
        </w:rPr>
        <w:t>(</w:t>
      </w:r>
      <w:r w:rsidRPr="00D90DF0">
        <w:rPr>
          <w:rFonts w:ascii="Arial" w:eastAsia="Calibri" w:hAnsi="Arial"/>
          <w:b/>
          <w:sz w:val="36"/>
          <w:szCs w:val="36"/>
        </w:rPr>
        <w:t>Benchmarking</w:t>
      </w:r>
      <w:r w:rsidR="00D90DF0">
        <w:rPr>
          <w:rFonts w:ascii="Arial" w:eastAsia="Calibri" w:hAnsi="Arial"/>
          <w:b/>
          <w:sz w:val="36"/>
          <w:szCs w:val="36"/>
        </w:rPr>
        <w:t>)</w:t>
      </w:r>
    </w:p>
    <w:p w14:paraId="680EADC9" w14:textId="77777777" w:rsidR="007337F4" w:rsidRPr="004A37A5" w:rsidRDefault="00341AEF" w:rsidP="004A37A5">
      <w:pPr>
        <w:pStyle w:val="GPSL1SCHEDULEHeading"/>
        <w:keepNext/>
        <w:jc w:val="left"/>
        <w:rPr>
          <w:rFonts w:ascii="Arial" w:hAnsi="Arial"/>
          <w:sz w:val="24"/>
          <w:szCs w:val="24"/>
        </w:rPr>
      </w:pPr>
      <w:r w:rsidRPr="004A37A5">
        <w:rPr>
          <w:rFonts w:ascii="Arial" w:hAnsi="Arial"/>
          <w:sz w:val="24"/>
          <w:szCs w:val="24"/>
        </w:rPr>
        <w:t>DEFINITIONS</w:t>
      </w:r>
    </w:p>
    <w:p w14:paraId="680EADCA" w14:textId="77777777"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4B6D51" w:rsidRPr="004A37A5" w14:paraId="3ABDBCBC" w14:textId="77777777" w:rsidTr="00A219A9">
        <w:tc>
          <w:tcPr>
            <w:tcW w:w="1803" w:type="pct"/>
            <w:shd w:val="clear" w:color="auto" w:fill="auto"/>
          </w:tcPr>
          <w:p w14:paraId="1C83EFA9"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14:paraId="0C8DE603"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4B6D51" w:rsidRPr="004A37A5" w14:paraId="07BAE01E" w14:textId="77777777" w:rsidTr="00A219A9">
        <w:tc>
          <w:tcPr>
            <w:tcW w:w="1803" w:type="pct"/>
            <w:shd w:val="clear" w:color="auto" w:fill="auto"/>
          </w:tcPr>
          <w:p w14:paraId="6FF6E5FB"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14:paraId="6DE1BA7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4B6D51" w:rsidRPr="004A37A5" w14:paraId="680EADCD" w14:textId="77777777">
        <w:tc>
          <w:tcPr>
            <w:tcW w:w="1803" w:type="pct"/>
            <w:shd w:val="clear" w:color="auto" w:fill="auto"/>
          </w:tcPr>
          <w:p w14:paraId="680EADCB" w14:textId="3AF4EC20" w:rsidR="004B6D51" w:rsidRPr="004A37A5" w:rsidRDefault="004B6D51" w:rsidP="004B6D51">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14:paraId="680EADCC" w14:textId="6BD5F0A6" w:rsidR="004B6D51" w:rsidRPr="004A37A5" w:rsidRDefault="004B6D51" w:rsidP="004B6D51">
            <w:pPr>
              <w:pStyle w:val="GPsDefinition"/>
              <w:jc w:val="left"/>
              <w:rPr>
                <w:rFonts w:ascii="Arial" w:hAnsi="Arial"/>
                <w:sz w:val="24"/>
                <w:szCs w:val="24"/>
              </w:rPr>
            </w:pPr>
            <w:r w:rsidRPr="004A37A5">
              <w:rPr>
                <w:rFonts w:ascii="Arial" w:hAnsi="Arial"/>
                <w:sz w:val="24"/>
                <w:szCs w:val="24"/>
              </w:rPr>
              <w:t>the Charges for Comparable Deliverables;</w:t>
            </w:r>
          </w:p>
        </w:tc>
      </w:tr>
      <w:tr w:rsidR="004B6D51" w:rsidRPr="004A37A5" w14:paraId="4E3A4B3E" w14:textId="77777777" w:rsidTr="00541F66">
        <w:tc>
          <w:tcPr>
            <w:tcW w:w="1803" w:type="pct"/>
            <w:shd w:val="clear" w:color="auto" w:fill="auto"/>
          </w:tcPr>
          <w:p w14:paraId="2DF6C34C"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14:paraId="6EAF180B"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4B6D51" w:rsidRPr="004A37A5" w14:paraId="680EADDF" w14:textId="77777777">
        <w:tc>
          <w:tcPr>
            <w:tcW w:w="1803" w:type="pct"/>
            <w:shd w:val="clear" w:color="auto" w:fill="auto"/>
          </w:tcPr>
          <w:p w14:paraId="680EADDD"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14:paraId="680EADDE"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4B6D51" w:rsidRPr="004A37A5" w14:paraId="680EADE2" w14:textId="77777777">
        <w:tc>
          <w:tcPr>
            <w:tcW w:w="1803" w:type="pct"/>
            <w:shd w:val="clear" w:color="auto" w:fill="auto"/>
          </w:tcPr>
          <w:p w14:paraId="680EADE0"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14:paraId="680EADE1"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4B6D51" w:rsidRPr="004A37A5" w14:paraId="680EADE5" w14:textId="77777777">
        <w:tc>
          <w:tcPr>
            <w:tcW w:w="1803" w:type="pct"/>
            <w:shd w:val="clear" w:color="auto" w:fill="auto"/>
          </w:tcPr>
          <w:p w14:paraId="680EADE3"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"Good Value"</w:t>
            </w:r>
          </w:p>
        </w:tc>
        <w:tc>
          <w:tcPr>
            <w:tcW w:w="3197" w:type="pct"/>
            <w:shd w:val="clear" w:color="auto" w:fill="auto"/>
          </w:tcPr>
          <w:p w14:paraId="680EADE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that the Benchmarked Rates are within the Upper Quartile; and</w:t>
            </w:r>
          </w:p>
        </w:tc>
      </w:tr>
      <w:tr w:rsidR="004B6D51" w:rsidRPr="004A37A5" w14:paraId="680EADE8" w14:textId="77777777">
        <w:tc>
          <w:tcPr>
            <w:tcW w:w="1803" w:type="pct"/>
            <w:shd w:val="clear" w:color="auto" w:fill="auto"/>
          </w:tcPr>
          <w:p w14:paraId="680EADE6"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"Upper Quartile"</w:t>
            </w:r>
          </w:p>
        </w:tc>
        <w:tc>
          <w:tcPr>
            <w:tcW w:w="3197" w:type="pct"/>
            <w:shd w:val="clear" w:color="auto" w:fill="auto"/>
          </w:tcPr>
          <w:p w14:paraId="680EADE7" w14:textId="77777777" w:rsidR="004B6D51" w:rsidRPr="004A37A5" w:rsidRDefault="004B6D51" w:rsidP="004B6D51">
            <w:pPr>
              <w:pStyle w:val="GPsDefinition"/>
              <w:jc w:val="left"/>
              <w:rPr>
                <w:rFonts w:ascii="Arial" w:hAnsi="Arial"/>
                <w:sz w:val="24"/>
                <w:szCs w:val="24"/>
              </w:rPr>
            </w:pPr>
            <w:proofErr w:type="gramStart"/>
            <w:r w:rsidRPr="004A37A5">
              <w:rPr>
                <w:rFonts w:ascii="Arial" w:hAnsi="Arial"/>
                <w:sz w:val="24"/>
                <w:szCs w:val="24"/>
              </w:rPr>
              <w:t>in</w:t>
            </w:r>
            <w:proofErr w:type="gramEnd"/>
            <w:r w:rsidRPr="004A37A5">
              <w:rPr>
                <w:rFonts w:ascii="Arial" w:hAnsi="Arial"/>
                <w:sz w:val="24"/>
                <w:szCs w:val="24"/>
              </w:rPr>
              <w:t xml:space="preserve"> respect of Benchmarked Rates, that based on an analysis of Equivalent Data, the Benchmarked Rates, as compared to the range of prices for Comparable Deliverables, are within the top 25% in terms </w:t>
            </w:r>
            <w:r w:rsidRPr="004A37A5">
              <w:rPr>
                <w:rFonts w:ascii="Arial" w:hAnsi="Arial"/>
                <w:sz w:val="24"/>
                <w:szCs w:val="24"/>
              </w:rPr>
              <w:lastRenderedPageBreak/>
              <w:t>of best value for money for the recipients of Comparable Deliverables.</w:t>
            </w:r>
          </w:p>
        </w:tc>
      </w:tr>
    </w:tbl>
    <w:p w14:paraId="680EADE9" w14:textId="77777777" w:rsidR="007337F4" w:rsidRPr="004A37A5" w:rsidRDefault="00D33320" w:rsidP="004A37A5">
      <w:pPr>
        <w:pStyle w:val="GPSL1SCHEDULEHeading"/>
        <w:keepNext/>
        <w:jc w:val="left"/>
        <w:rPr>
          <w:rFonts w:ascii="Arial" w:hAnsi="Arial"/>
          <w:sz w:val="24"/>
          <w:szCs w:val="24"/>
        </w:rPr>
      </w:pPr>
      <w:r>
        <w:rPr>
          <w:rFonts w:ascii="Arial Bold" w:hAnsi="Arial Bold"/>
          <w:caps w:val="0"/>
          <w:sz w:val="24"/>
          <w:szCs w:val="24"/>
        </w:rPr>
        <w:lastRenderedPageBreak/>
        <w:t>When you should use this Schedule</w:t>
      </w:r>
    </w:p>
    <w:p w14:paraId="680EADEA" w14:textId="77777777"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Buyer wishes to ensure that the Deliverables, represent value for money to the taxpayer throughout the Contract Period.  </w:t>
      </w:r>
    </w:p>
    <w:p w14:paraId="680EADEB" w14:textId="77777777" w:rsidR="007337F4" w:rsidRPr="004A37A5"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the Buyer may terminate the Contract by issuing a Termination Notice to the Supplier if the Supplier refuses or fails to comply with its obligations as set out in Paragraphs 3 of this Schedule.</w:t>
      </w:r>
    </w:p>
    <w:p w14:paraId="680EADEC" w14:textId="77777777" w:rsidR="00B5059A" w:rsidRPr="004A37A5"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 the definition of a Cost.</w:t>
      </w:r>
    </w:p>
    <w:p w14:paraId="680EADED" w14:textId="77777777" w:rsidR="007337F4" w:rsidRPr="00D33320" w:rsidRDefault="00D33320" w:rsidP="004A37A5">
      <w:pPr>
        <w:pStyle w:val="GPSL1SCHEDULEHeading"/>
        <w:keepNext/>
        <w:jc w:val="left"/>
        <w:rPr>
          <w:rFonts w:ascii="Arial Bold" w:hAnsi="Arial Bold" w:hint="eastAsia"/>
          <w:caps w:val="0"/>
          <w:sz w:val="24"/>
          <w:szCs w:val="24"/>
        </w:rPr>
      </w:pPr>
      <w:r>
        <w:rPr>
          <w:rFonts w:ascii="Arial Bold" w:hAnsi="Arial Bold"/>
          <w:caps w:val="0"/>
          <w:sz w:val="24"/>
          <w:szCs w:val="24"/>
        </w:rPr>
        <w:t>Benchmarking</w:t>
      </w:r>
    </w:p>
    <w:p w14:paraId="680EADEE" w14:textId="77777777" w:rsidR="007337F4" w:rsidRPr="004A37A5" w:rsidRDefault="00D33320" w:rsidP="004A37A5">
      <w:pPr>
        <w:pStyle w:val="GPSL2Numbered"/>
        <w:keepNext/>
        <w:jc w:val="left"/>
        <w:rPr>
          <w:rFonts w:ascii="Arial" w:hAnsi="Arial"/>
          <w:b/>
          <w:sz w:val="24"/>
          <w:szCs w:val="24"/>
        </w:rPr>
      </w:pPr>
      <w:r>
        <w:rPr>
          <w:rFonts w:ascii="Arial" w:hAnsi="Arial"/>
          <w:b/>
          <w:sz w:val="24"/>
          <w:szCs w:val="24"/>
        </w:rPr>
        <w:t>How benchmarking works</w:t>
      </w:r>
    </w:p>
    <w:p w14:paraId="7990698F" w14:textId="1B836F08" w:rsidR="00A219A9" w:rsidRDefault="00A219A9" w:rsidP="004A37A5">
      <w:pPr>
        <w:pStyle w:val="GPSL3numberedclause"/>
        <w:jc w:val="left"/>
        <w:rPr>
          <w:rFonts w:ascii="Arial" w:hAnsi="Arial"/>
          <w:sz w:val="24"/>
          <w:szCs w:val="24"/>
        </w:rPr>
      </w:pPr>
      <w:r w:rsidRPr="00195227">
        <w:rPr>
          <w:rFonts w:ascii="Arial" w:hAnsi="Arial"/>
          <w:sz w:val="24"/>
        </w:rPr>
        <w:t>The Buyer and the Supplier recognise that, where specified in Framework Schedule 4 (Framework Management), the Buyer may give CCS the right to enforce the Buyer's rights under this Schedule</w:t>
      </w:r>
      <w:r>
        <w:rPr>
          <w:rFonts w:ascii="Arial" w:hAnsi="Arial"/>
          <w:sz w:val="24"/>
        </w:rPr>
        <w:t>.</w:t>
      </w:r>
    </w:p>
    <w:p w14:paraId="680EADEF"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Buyer may, by written notice to the Supplier, require a Benchmark Review of any or all of the Deliverables.</w:t>
      </w:r>
    </w:p>
    <w:p w14:paraId="680EADF0"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680EADF1"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14:paraId="680EADF2"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Deliverables that are to be the Benchmarked Deliverables will be identified by the Buyer in writing.</w:t>
      </w:r>
    </w:p>
    <w:p w14:paraId="680EADF3" w14:textId="00A78C43"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Review </w:t>
      </w:r>
      <w:r w:rsidRPr="004A37A5">
        <w:rPr>
          <w:rFonts w:ascii="Arial" w:hAnsi="Arial"/>
          <w:sz w:val="24"/>
          <w:szCs w:val="24"/>
        </w:rPr>
        <w:t xml:space="preserve">the Buyer </w:t>
      </w:r>
      <w:r w:rsidR="00341AEF" w:rsidRPr="004A37A5">
        <w:rPr>
          <w:rFonts w:ascii="Arial" w:hAnsi="Arial"/>
          <w:sz w:val="24"/>
          <w:szCs w:val="24"/>
        </w:rPr>
        <w:t xml:space="preserve">shall nominate a </w:t>
      </w:r>
      <w:proofErr w:type="spellStart"/>
      <w:r w:rsidR="004B7DE1">
        <w:rPr>
          <w:rFonts w:ascii="Arial" w:hAnsi="Arial"/>
          <w:sz w:val="24"/>
          <w:szCs w:val="24"/>
        </w:rPr>
        <w:t>benchmarker</w:t>
      </w:r>
      <w:proofErr w:type="spellEnd"/>
      <w:r w:rsidR="00341AEF" w:rsidRPr="004A37A5">
        <w:rPr>
          <w:rFonts w:ascii="Arial" w:hAnsi="Arial"/>
          <w:sz w:val="24"/>
          <w:szCs w:val="24"/>
        </w:rPr>
        <w:t>.  The Supplier must approve the nomination within ten (10) Working Days</w:t>
      </w:r>
      <w:bookmarkStart w:id="0" w:name="_GoBack"/>
      <w:bookmarkEnd w:id="0"/>
      <w:r w:rsidR="00341AEF" w:rsidRPr="004A37A5">
        <w:rPr>
          <w:rFonts w:ascii="Arial" w:hAnsi="Arial"/>
          <w:sz w:val="24"/>
          <w:szCs w:val="24"/>
        </w:rPr>
        <w:t xml:space="preserve"> unless the Supplier provides a reasonable explanation for rejecting the appointment.   If the appointment is rejected then the Buyer may propose an alternative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If the Parties cannot agree the appointment within twenty (20) days of the initial request for Benchmark review then a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shall be selected by the Chartered Institute of Financial Accountants. </w:t>
      </w:r>
    </w:p>
    <w:p w14:paraId="680EADF4" w14:textId="71F96BA8"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cost of a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i</w:t>
      </w:r>
      <w:r w:rsidR="006C5497" w:rsidRPr="004A37A5">
        <w:rPr>
          <w:rFonts w:ascii="Arial" w:hAnsi="Arial"/>
          <w:sz w:val="24"/>
          <w:szCs w:val="24"/>
        </w:rPr>
        <w:t>n</w:t>
      </w:r>
      <w:r w:rsidRPr="004A37A5">
        <w:rPr>
          <w:rFonts w:ascii="Arial" w:hAnsi="Arial"/>
          <w:sz w:val="24"/>
          <w:szCs w:val="24"/>
        </w:rPr>
        <w:t xml:space="preserve"> such proportions as the Parties agree (acting </w:t>
      </w:r>
      <w:r w:rsidRPr="004A37A5">
        <w:rPr>
          <w:rFonts w:ascii="Arial" w:hAnsi="Arial"/>
          <w:sz w:val="24"/>
          <w:szCs w:val="24"/>
        </w:rPr>
        <w:lastRenderedPageBreak/>
        <w:t xml:space="preserve">reasonably). Invoices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be raised against the Supplier and the relevant portion shall be reimbursed by the Buyer.</w:t>
      </w:r>
    </w:p>
    <w:p w14:paraId="680EADF5" w14:textId="77777777" w:rsidR="007337F4" w:rsidRPr="004A37A5" w:rsidRDefault="00341AEF" w:rsidP="004A37A5">
      <w:pPr>
        <w:pStyle w:val="GPSL2Numbered"/>
        <w:keepNext/>
        <w:jc w:val="left"/>
        <w:rPr>
          <w:rFonts w:ascii="Arial" w:hAnsi="Arial"/>
          <w:b/>
          <w:sz w:val="24"/>
          <w:szCs w:val="24"/>
        </w:rPr>
      </w:pPr>
      <w:r w:rsidRPr="004A37A5">
        <w:rPr>
          <w:rFonts w:ascii="Arial" w:hAnsi="Arial"/>
          <w:b/>
          <w:sz w:val="24"/>
          <w:szCs w:val="24"/>
        </w:rPr>
        <w:t>Benchmarking Process</w:t>
      </w:r>
    </w:p>
    <w:p w14:paraId="680EADF6" w14:textId="14209D77"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produce and send to the Buyer, for Approval, a draft plan for the Benchmark Review </w:t>
      </w:r>
      <w:bookmarkStart w:id="1" w:name="_Ref365988031"/>
      <w:r w:rsidRPr="004A37A5">
        <w:rPr>
          <w:rFonts w:ascii="Arial" w:hAnsi="Arial"/>
          <w:sz w:val="24"/>
          <w:szCs w:val="24"/>
        </w:rPr>
        <w:t>which must include:</w:t>
      </w:r>
      <w:bookmarkEnd w:id="1"/>
    </w:p>
    <w:p w14:paraId="680EADF7"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14:paraId="680EADF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14:paraId="680EADF9" w14:textId="0599D466"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w:t>
      </w:r>
      <w:proofErr w:type="gramEnd"/>
      <w:r w:rsidRPr="004A37A5">
        <w:rPr>
          <w:rFonts w:ascii="Arial" w:hAnsi="Arial"/>
          <w:sz w:val="24"/>
          <w:szCs w:val="24"/>
        </w:rPr>
        <w:t xml:space="preserve"> description of how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will scope and identify the Comparison Group. </w:t>
      </w:r>
    </w:p>
    <w:p w14:paraId="680EADFA" w14:textId="3F6F4E09" w:rsidR="007337F4" w:rsidRPr="004A37A5" w:rsidRDefault="00341AEF" w:rsidP="004A37A5">
      <w:pPr>
        <w:pStyle w:val="GPSL3numberedclause"/>
        <w:jc w:val="left"/>
        <w:rPr>
          <w:rFonts w:ascii="Arial" w:hAnsi="Arial"/>
          <w:sz w:val="24"/>
          <w:szCs w:val="24"/>
        </w:rPr>
      </w:pPr>
      <w:bookmarkStart w:id="2" w:name="_Ref365987948"/>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acting reasonably, shall be entitled to use any model to determine the achievement of value for money and to carry out the benchmarking. </w:t>
      </w:r>
    </w:p>
    <w:p w14:paraId="680EADFB" w14:textId="674ED476" w:rsidR="007337F4" w:rsidRPr="004A37A5" w:rsidRDefault="00341AEF" w:rsidP="004A37A5">
      <w:pPr>
        <w:pStyle w:val="GPSL3numberedclause"/>
        <w:jc w:val="left"/>
        <w:rPr>
          <w:rFonts w:ascii="Arial" w:hAnsi="Arial"/>
          <w:sz w:val="24"/>
          <w:szCs w:val="24"/>
        </w:rPr>
      </w:pPr>
      <w:bookmarkStart w:id="3" w:name="_Ref492661344"/>
      <w:r w:rsidRPr="004A37A5">
        <w:rPr>
          <w:rFonts w:ascii="Arial" w:hAnsi="Arial"/>
          <w:sz w:val="24"/>
          <w:szCs w:val="24"/>
        </w:rPr>
        <w:t xml:space="preserve">The Buyer must give notice in writing to the Supplier within ten (10) Working Days after receiving the draft plan, advising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and the Supplier whether it Approves the draft plan, or, if it does not approve the draft plan, suggesting amendments to that plan (which must be reasonable). </w:t>
      </w:r>
      <w:bookmarkEnd w:id="2"/>
      <w:r w:rsidRPr="004A37A5">
        <w:rPr>
          <w:rFonts w:ascii="Arial" w:hAnsi="Arial"/>
          <w:sz w:val="24"/>
          <w:szCs w:val="24"/>
        </w:rPr>
        <w:t xml:space="preserve">If amendments are suggested then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must produce an amended draft plan and this Paragraph 3.2.3 shall apply to any amended draft plan.</w:t>
      </w:r>
      <w:bookmarkEnd w:id="3"/>
    </w:p>
    <w:p w14:paraId="680EADFC" w14:textId="7E91CB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Once both Parties have approved the draft plan then they will notify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No Party may unreasonably withhold or delay its Approval of the draft plan.</w:t>
      </w:r>
    </w:p>
    <w:p w14:paraId="680EADFD" w14:textId="647155CA"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Once it has received the Approval of the draft plan,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w:t>
      </w:r>
    </w:p>
    <w:p w14:paraId="680EADFE"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finalise</w:t>
      </w:r>
      <w:proofErr w:type="gramEnd"/>
      <w:r w:rsidRPr="004A37A5">
        <w:rPr>
          <w:rFonts w:ascii="Arial" w:hAnsi="Arial"/>
          <w:sz w:val="24"/>
          <w:szCs w:val="24"/>
        </w:rPr>
        <w:t xml:space="preserve"> the Comparison Group and collect data relating to Comparable Rates. The selection of the Comparable Rates (both in terms of number and identity) shall be a matter for the Supplier's professional judgment using:</w:t>
      </w:r>
    </w:p>
    <w:p w14:paraId="680EADFF"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14:paraId="680EAE00" w14:textId="02712AA0"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’s</w:t>
      </w:r>
      <w:proofErr w:type="spellEnd"/>
      <w:r w:rsidRPr="004A37A5">
        <w:rPr>
          <w:rFonts w:ascii="Arial" w:hAnsi="Arial"/>
          <w:sz w:val="24"/>
          <w:szCs w:val="24"/>
        </w:rPr>
        <w:t xml:space="preserve"> own data and experience;</w:t>
      </w:r>
    </w:p>
    <w:p w14:paraId="680EAE01"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relevant published information; and</w:t>
      </w:r>
    </w:p>
    <w:p w14:paraId="680EAE02" w14:textId="5A629643"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004B6D51">
        <w:rPr>
          <w:rFonts w:ascii="Arial" w:hAnsi="Arial"/>
          <w:sz w:val="24"/>
          <w:szCs w:val="24"/>
        </w:rPr>
        <w:t>3.2.6</w:t>
      </w:r>
      <w:r w:rsidR="004B6D51" w:rsidRPr="004A37A5">
        <w:rPr>
          <w:rFonts w:ascii="Arial" w:hAnsi="Arial"/>
          <w:sz w:val="24"/>
          <w:szCs w:val="24"/>
        </w:rPr>
        <w:t xml:space="preserve"> </w:t>
      </w:r>
      <w:r w:rsidRPr="004A37A5">
        <w:rPr>
          <w:rFonts w:ascii="Arial" w:hAnsi="Arial"/>
          <w:sz w:val="24"/>
          <w:szCs w:val="24"/>
        </w:rPr>
        <w:t xml:space="preserve"> below, information from other suppliers or purchasers on Comparable Rates;</w:t>
      </w:r>
    </w:p>
    <w:p w14:paraId="680EAE03" w14:textId="0661A259"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004B6D51">
        <w:rPr>
          <w:rFonts w:ascii="Arial" w:hAnsi="Arial"/>
          <w:sz w:val="24"/>
          <w:szCs w:val="24"/>
        </w:rPr>
        <w:t xml:space="preserve">3.2.7 </w:t>
      </w:r>
      <w:r w:rsidRPr="004A37A5">
        <w:rPr>
          <w:rFonts w:ascii="Arial" w:hAnsi="Arial"/>
          <w:sz w:val="24"/>
          <w:szCs w:val="24"/>
        </w:rPr>
        <w:t>and from an analysis of the Comparable Rates, derive the Equivalent Data;</w:t>
      </w:r>
    </w:p>
    <w:p w14:paraId="680EAE04"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using the Equivalent Data, calculate the Upper Quartile;</w:t>
      </w:r>
    </w:p>
    <w:p w14:paraId="680EAE05"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determine</w:t>
      </w:r>
      <w:proofErr w:type="gramEnd"/>
      <w:r w:rsidRPr="004A37A5">
        <w:rPr>
          <w:rFonts w:ascii="Arial" w:hAnsi="Arial"/>
          <w:sz w:val="24"/>
          <w:szCs w:val="24"/>
        </w:rPr>
        <w:t xml:space="preserve"> whether or not each Benchmarked Rate is, and/or the Benchmarked Rates as a whole are, Good Value.</w:t>
      </w:r>
    </w:p>
    <w:p w14:paraId="680EAE06" w14:textId="35FDD8C0" w:rsidR="007337F4" w:rsidRPr="004A37A5" w:rsidRDefault="00341AEF" w:rsidP="004A37A5">
      <w:pPr>
        <w:pStyle w:val="GPSL3numberedclause"/>
        <w:jc w:val="left"/>
        <w:rPr>
          <w:rFonts w:ascii="Arial" w:hAnsi="Arial"/>
          <w:sz w:val="24"/>
          <w:szCs w:val="24"/>
        </w:rPr>
      </w:pPr>
      <w:bookmarkStart w:id="4" w:name="_Ref365988113"/>
      <w:r w:rsidRPr="004A37A5">
        <w:rPr>
          <w:rFonts w:ascii="Arial" w:hAnsi="Arial"/>
          <w:sz w:val="24"/>
          <w:szCs w:val="24"/>
        </w:rPr>
        <w:lastRenderedPageBreak/>
        <w:t xml:space="preserve">The Supplier shall use all reasonable endeavours and act in good faith to supply information required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in order to undertake the benchmarking.  The Supplier agrees to use its reasonable endeavours to obtain information from other suppliers or purchasers on Comparable Rates.</w:t>
      </w:r>
      <w:bookmarkEnd w:id="4"/>
    </w:p>
    <w:p w14:paraId="680EAE07" w14:textId="19E261B4" w:rsidR="007337F4" w:rsidRPr="004A37A5" w:rsidRDefault="00341AEF" w:rsidP="004A37A5">
      <w:pPr>
        <w:pStyle w:val="GPSL3numberedclause"/>
        <w:keepNext/>
        <w:jc w:val="left"/>
        <w:rPr>
          <w:rFonts w:ascii="Arial" w:hAnsi="Arial"/>
          <w:sz w:val="24"/>
          <w:szCs w:val="24"/>
        </w:rPr>
      </w:pPr>
      <w:bookmarkStart w:id="5" w:name="_Ref366091348"/>
      <w:r w:rsidRPr="004A37A5">
        <w:rPr>
          <w:rFonts w:ascii="Arial" w:hAnsi="Arial"/>
          <w:sz w:val="24"/>
          <w:szCs w:val="24"/>
        </w:rPr>
        <w:t xml:space="preserve">In carrying out the benchmarking analysis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may have regard to the following matters when performing a comparative assessment of the Benchmarked Rates and the Comparable Rates in order to derive Equivalent Data:</w:t>
      </w:r>
      <w:bookmarkEnd w:id="5"/>
    </w:p>
    <w:p w14:paraId="680EAE0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14:paraId="680EAE09"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14:paraId="680EAE0A"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any</w:t>
      </w:r>
      <w:proofErr w:type="gramEnd"/>
      <w:r w:rsidRPr="004A37A5">
        <w:rPr>
          <w:rFonts w:ascii="Arial" w:hAnsi="Arial"/>
          <w:sz w:val="24"/>
          <w:szCs w:val="24"/>
        </w:rPr>
        <w:t xml:space="preserve"> other factors reasonably identified by the Supplier, which, if not taken into consideration, could unfairly cause the Supplier's pricing to appear non-competitive.</w:t>
      </w:r>
    </w:p>
    <w:p w14:paraId="680EAE0B" w14:textId="77777777" w:rsidR="007337F4" w:rsidRPr="004A37A5" w:rsidRDefault="00D33320" w:rsidP="004A37A5">
      <w:pPr>
        <w:pStyle w:val="GPSL2NumberedBoldHeading"/>
        <w:keepNext/>
        <w:ind w:left="648" w:hanging="216"/>
        <w:jc w:val="left"/>
        <w:rPr>
          <w:rFonts w:ascii="Arial" w:hAnsi="Arial"/>
          <w:sz w:val="24"/>
          <w:szCs w:val="24"/>
        </w:rPr>
      </w:pPr>
      <w:r>
        <w:rPr>
          <w:rFonts w:ascii="Arial" w:hAnsi="Arial"/>
          <w:sz w:val="24"/>
          <w:szCs w:val="24"/>
        </w:rPr>
        <w:t>Benchmarking Report</w:t>
      </w:r>
    </w:p>
    <w:p w14:paraId="680EAE0C" w14:textId="33C4C9EB"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following the Benchmark Review and as further described in this Schedule;</w:t>
      </w:r>
    </w:p>
    <w:p w14:paraId="680EAE0D" w14:textId="02B2EA66"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14:paraId="680EAE0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14:paraId="680EAE0F"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680EAE10"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include</w:t>
      </w:r>
      <w:proofErr w:type="gramEnd"/>
      <w:r w:rsidRPr="004A37A5">
        <w:rPr>
          <w:rFonts w:ascii="Arial" w:hAnsi="Arial"/>
          <w:sz w:val="24"/>
          <w:szCs w:val="24"/>
        </w:rPr>
        <w:t xml:space="preserve"> sufficient detail and transparency so that the Party requesting the Benchmarking can interpret and understand how the Supplier has calculated whether or not the Benchmarked Deliverables are, individually or as a whole, Good Value.</w:t>
      </w:r>
    </w:p>
    <w:p w14:paraId="680EAE11" w14:textId="77777777" w:rsidR="00A7314E" w:rsidRDefault="00341AEF" w:rsidP="004A37A5">
      <w:pPr>
        <w:pStyle w:val="GPSL3numberedclause"/>
        <w:jc w:val="left"/>
        <w:rPr>
          <w:rFonts w:ascii="Arial" w:hAnsi="Arial"/>
          <w:sz w:val="24"/>
          <w:szCs w:val="24"/>
        </w:rPr>
        <w:sectPr w:rsidR="00A7314E" w:rsidSect="00D90DF0">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r w:rsidRPr="004A37A5">
        <w:rPr>
          <w:rFonts w:ascii="Arial" w:hAnsi="Arial"/>
          <w:sz w:val="24"/>
          <w:szCs w:val="24"/>
        </w:rPr>
        <w:t>The Parties agree that any changes required to this Contract identified in the Benchmarking Report shall be implemented at the direction of the Buyer in accordance with Clause 24 (Changing the contract).</w:t>
      </w:r>
    </w:p>
    <w:p w14:paraId="680EAE12" w14:textId="77777777" w:rsidR="007337F4" w:rsidRPr="004A37A5" w:rsidRDefault="007337F4" w:rsidP="00A7314E">
      <w:pPr>
        <w:pStyle w:val="GPSL3numberedclause"/>
        <w:numPr>
          <w:ilvl w:val="0"/>
          <w:numId w:val="0"/>
        </w:numPr>
        <w:ind w:left="1656" w:hanging="720"/>
        <w:jc w:val="left"/>
        <w:rPr>
          <w:rFonts w:ascii="Arial" w:hAnsi="Arial"/>
          <w:sz w:val="24"/>
          <w:szCs w:val="24"/>
        </w:rPr>
      </w:pPr>
    </w:p>
    <w:sectPr w:rsidR="007337F4" w:rsidRPr="004A37A5" w:rsidSect="00D90DF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C47369" w14:textId="77777777" w:rsidR="001F6081" w:rsidRDefault="001F6081">
      <w:pPr>
        <w:spacing w:after="0"/>
      </w:pPr>
      <w:r>
        <w:separator/>
      </w:r>
    </w:p>
  </w:endnote>
  <w:endnote w:type="continuationSeparator" w:id="0">
    <w:p w14:paraId="2FC12DC4" w14:textId="77777777" w:rsidR="001F6081" w:rsidRDefault="001F6081">
      <w:pPr>
        <w:spacing w:after="0"/>
      </w:pPr>
      <w:r>
        <w:continuationSeparator/>
      </w:r>
    </w:p>
  </w:endnote>
  <w:endnote w:type="continuationNotice" w:id="1">
    <w:p w14:paraId="6A5C68B9" w14:textId="77777777" w:rsidR="001F6081" w:rsidRDefault="001F60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EAE1B" w14:textId="77777777" w:rsidR="00D32C62" w:rsidRPr="00985E32" w:rsidRDefault="00D32C62">
    <w:pPr>
      <w:tabs>
        <w:tab w:val="center" w:pos="4513"/>
        <w:tab w:val="right" w:pos="9026"/>
      </w:tabs>
      <w:spacing w:after="0"/>
      <w:rPr>
        <w:rFonts w:ascii="Arial" w:hAnsi="Arial"/>
        <w:sz w:val="20"/>
      </w:rPr>
    </w:pPr>
  </w:p>
  <w:p w14:paraId="680EAE1C" w14:textId="4DD95DD4" w:rsidR="00D32C62" w:rsidRPr="00985E32" w:rsidRDefault="00D32C62" w:rsidP="004D49BE">
    <w:pPr>
      <w:tabs>
        <w:tab w:val="center" w:pos="4513"/>
        <w:tab w:val="right" w:pos="9026"/>
      </w:tabs>
      <w:spacing w:after="0"/>
      <w:rPr>
        <w:rFonts w:ascii="Arial" w:hAnsi="Arial"/>
        <w:sz w:val="20"/>
      </w:rPr>
    </w:pPr>
    <w:r w:rsidRPr="00985E32">
      <w:rPr>
        <w:rFonts w:ascii="Arial" w:hAnsi="Arial"/>
        <w:sz w:val="20"/>
      </w:rPr>
      <w:t>Framework Ref: RM</w:t>
    </w:r>
    <w:r w:rsidR="00612D97">
      <w:rPr>
        <w:rFonts w:ascii="Arial" w:hAnsi="Arial"/>
        <w:sz w:val="20"/>
      </w:rPr>
      <w:t>6068</w:t>
    </w:r>
  </w:p>
  <w:p w14:paraId="680EAE1D" w14:textId="77777777" w:rsidR="00D32C62" w:rsidRPr="00985E32" w:rsidRDefault="00D32C62" w:rsidP="004D49BE">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sidR="00612D97">
      <w:rPr>
        <w:rFonts w:ascii="Arial" w:hAnsi="Arial"/>
        <w:noProof/>
        <w:sz w:val="20"/>
      </w:rPr>
      <w:t>5</w:t>
    </w:r>
    <w:r w:rsidRPr="00985E32">
      <w:rPr>
        <w:rFonts w:ascii="Arial" w:hAnsi="Arial"/>
        <w:noProof/>
        <w:sz w:val="20"/>
      </w:rPr>
      <w:fldChar w:fldCharType="end"/>
    </w:r>
  </w:p>
  <w:p w14:paraId="680EAE1E" w14:textId="2697E5CE" w:rsidR="00D32C62" w:rsidRDefault="00D32C62" w:rsidP="004D49BE">
    <w:pPr>
      <w:tabs>
        <w:tab w:val="center" w:pos="4513"/>
        <w:tab w:val="right" w:pos="9026"/>
      </w:tabs>
      <w:spacing w:after="0"/>
    </w:pPr>
    <w:r>
      <w:rPr>
        <w:rFonts w:ascii="Arial" w:hAnsi="Arial"/>
        <w:sz w:val="20"/>
      </w:rPr>
      <w:t>Model Version: v3.</w:t>
    </w:r>
    <w:r w:rsidR="004B6D51">
      <w:rPr>
        <w:rFonts w:ascii="Arial" w:hAnsi="Arial"/>
        <w:sz w:val="20"/>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EAE20" w14:textId="77777777" w:rsidR="00D32C62" w:rsidRPr="00985E32" w:rsidRDefault="00D32C62" w:rsidP="006E2B29">
    <w:pPr>
      <w:tabs>
        <w:tab w:val="center" w:pos="4513"/>
        <w:tab w:val="right" w:pos="9026"/>
      </w:tabs>
      <w:spacing w:after="0"/>
      <w:rPr>
        <w:rFonts w:ascii="Arial" w:hAnsi="Arial"/>
        <w:sz w:val="20"/>
      </w:rPr>
    </w:pPr>
    <w:r w:rsidRPr="00985E32">
      <w:rPr>
        <w:rFonts w:ascii="Arial" w:hAnsi="Arial"/>
        <w:sz w:val="20"/>
      </w:rPr>
      <w:t>Framework Ref: RM</w:t>
    </w:r>
    <w:r w:rsidRPr="00985E32">
      <w:rPr>
        <w:rFonts w:ascii="Arial" w:hAnsi="Arial"/>
        <w:sz w:val="20"/>
      </w:rPr>
      <w:tab/>
      <w:t xml:space="preserve">                                           </w:t>
    </w:r>
  </w:p>
  <w:p w14:paraId="680EAE21" w14:textId="77777777" w:rsidR="00D32C62" w:rsidRPr="00985E32" w:rsidRDefault="00D32C62"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1</w:t>
    </w:r>
    <w:r w:rsidRPr="00985E32">
      <w:rPr>
        <w:rFonts w:ascii="Arial" w:hAnsi="Arial"/>
        <w:noProof/>
        <w:sz w:val="20"/>
      </w:rPr>
      <w:fldChar w:fldCharType="end"/>
    </w:r>
  </w:p>
  <w:p w14:paraId="680EAE22" w14:textId="77777777" w:rsidR="00D32C62" w:rsidRDefault="00D32C62" w:rsidP="006E2B29">
    <w:pPr>
      <w:tabs>
        <w:tab w:val="center" w:pos="4513"/>
        <w:tab w:val="right" w:pos="9026"/>
      </w:tabs>
      <w:spacing w:after="0"/>
    </w:pPr>
    <w:r>
      <w:rPr>
        <w:rFonts w:ascii="Arial" w:hAnsi="Arial"/>
        <w:sz w:val="20"/>
      </w:rPr>
      <w:t>Model Version: v3.0</w:t>
    </w:r>
    <w:r w:rsidRPr="00985E32">
      <w:rPr>
        <w:rFonts w:ascii="Arial" w:hAnsi="Arial"/>
        <w:sz w:val="20"/>
      </w:rP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4A5A74" w14:textId="77777777" w:rsidR="001F6081" w:rsidRDefault="001F6081">
      <w:pPr>
        <w:spacing w:after="0"/>
      </w:pPr>
      <w:r>
        <w:separator/>
      </w:r>
    </w:p>
  </w:footnote>
  <w:footnote w:type="continuationSeparator" w:id="0">
    <w:p w14:paraId="09118073" w14:textId="77777777" w:rsidR="001F6081" w:rsidRDefault="001F6081">
      <w:pPr>
        <w:spacing w:after="0"/>
      </w:pPr>
      <w:r>
        <w:continuationSeparator/>
      </w:r>
    </w:p>
  </w:footnote>
  <w:footnote w:type="continuationNotice" w:id="1">
    <w:p w14:paraId="6E385E9B" w14:textId="77777777" w:rsidR="001F6081" w:rsidRDefault="001F608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EAE17" w14:textId="77777777" w:rsidR="00D32C62" w:rsidRPr="00985E32" w:rsidRDefault="00D32C62">
    <w:pPr>
      <w:pStyle w:val="Header"/>
      <w:rPr>
        <w:rFonts w:ascii="Arial" w:hAnsi="Arial"/>
        <w:sz w:val="20"/>
      </w:rPr>
    </w:pPr>
    <w:r w:rsidRPr="00985E32">
      <w:rPr>
        <w:rFonts w:ascii="Arial" w:hAnsi="Arial"/>
        <w:b/>
        <w:sz w:val="20"/>
      </w:rPr>
      <w:t>Call-</w:t>
    </w:r>
    <w:r>
      <w:rPr>
        <w:rFonts w:ascii="Arial" w:hAnsi="Arial"/>
        <w:b/>
        <w:sz w:val="20"/>
      </w:rPr>
      <w:t>Off Schedule 16 (Benchmarking)</w:t>
    </w:r>
  </w:p>
  <w:p w14:paraId="680EAE18" w14:textId="77777777" w:rsidR="00D32C62" w:rsidRDefault="00D32C62">
    <w:pPr>
      <w:pStyle w:val="Header"/>
      <w:rPr>
        <w:rFonts w:ascii="Arial" w:hAnsi="Arial"/>
        <w:sz w:val="20"/>
      </w:rPr>
    </w:pPr>
    <w:r>
      <w:rPr>
        <w:rFonts w:ascii="Arial" w:hAnsi="Arial"/>
        <w:sz w:val="20"/>
      </w:rPr>
      <w:t>Call-Off Ref:</w:t>
    </w:r>
  </w:p>
  <w:p w14:paraId="680EAE19" w14:textId="77777777" w:rsidR="00D32C62" w:rsidRPr="00985E32" w:rsidRDefault="00D32C62">
    <w:pPr>
      <w:pStyle w:val="Header"/>
      <w:rPr>
        <w:rFonts w:ascii="Arial" w:hAnsi="Arial"/>
        <w:sz w:val="20"/>
      </w:rPr>
    </w:pPr>
    <w:r>
      <w:rPr>
        <w:rFonts w:ascii="Arial" w:hAnsi="Arial"/>
        <w:sz w:val="20"/>
      </w:rPr>
      <w:t>Crown Copyright 2018</w:t>
    </w:r>
  </w:p>
  <w:p w14:paraId="680EAE1A" w14:textId="77777777" w:rsidR="00D32C62" w:rsidRDefault="00D32C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EAE1F" w14:textId="77777777" w:rsidR="00D32C62" w:rsidRDefault="00D32C62">
    <w:pPr>
      <w:pStyle w:val="Header"/>
    </w:pPr>
    <w:r w:rsidRPr="00985E32">
      <w:rPr>
        <w:rStyle w:val="Emphasis"/>
        <w:rFonts w:ascii="Arial" w:hAnsi="Arial"/>
        <w:noProof/>
        <w:sz w:val="20"/>
        <w:lang w:eastAsia="en-GB"/>
      </w:rPr>
      <w:drawing>
        <wp:anchor distT="0" distB="0" distL="114300" distR="114300" simplePos="0" relativeHeight="251661312" behindDoc="0" locked="0" layoutInCell="1" allowOverlap="1" wp14:anchorId="680EAE23" wp14:editId="680EAE24">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ABCC61CA"/>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7F4"/>
    <w:rsid w:val="000007AA"/>
    <w:rsid w:val="000E0342"/>
    <w:rsid w:val="00114CD2"/>
    <w:rsid w:val="001A1CEB"/>
    <w:rsid w:val="001F6081"/>
    <w:rsid w:val="0031285C"/>
    <w:rsid w:val="00341AEF"/>
    <w:rsid w:val="00362C6F"/>
    <w:rsid w:val="003649A8"/>
    <w:rsid w:val="003A7DDA"/>
    <w:rsid w:val="0041246F"/>
    <w:rsid w:val="00421741"/>
    <w:rsid w:val="004954E5"/>
    <w:rsid w:val="004A37A5"/>
    <w:rsid w:val="004B6D51"/>
    <w:rsid w:val="004B7DE1"/>
    <w:rsid w:val="004D49BE"/>
    <w:rsid w:val="00541F66"/>
    <w:rsid w:val="00612D97"/>
    <w:rsid w:val="006C5497"/>
    <w:rsid w:val="006E2B29"/>
    <w:rsid w:val="00720275"/>
    <w:rsid w:val="007337F4"/>
    <w:rsid w:val="00857CFB"/>
    <w:rsid w:val="0093441D"/>
    <w:rsid w:val="00985E32"/>
    <w:rsid w:val="00A219A9"/>
    <w:rsid w:val="00A7314E"/>
    <w:rsid w:val="00B5059A"/>
    <w:rsid w:val="00B967F8"/>
    <w:rsid w:val="00BD2248"/>
    <w:rsid w:val="00C520AE"/>
    <w:rsid w:val="00CC6432"/>
    <w:rsid w:val="00D32C62"/>
    <w:rsid w:val="00D33320"/>
    <w:rsid w:val="00D90DF0"/>
    <w:rsid w:val="00DE2C9E"/>
    <w:rsid w:val="00DF1BCC"/>
    <w:rsid w:val="00F86FE7"/>
    <w:rsid w:val="00FB3ED6"/>
    <w:rsid w:val="00FE1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80EA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A1B5C-1A32-47E6-BBB7-3DC5BE70F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1233</Words>
  <Characters>7029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2018-12-07T13:24:00Z</dcterms:created>
  <dcterms:modified xsi:type="dcterms:W3CDTF">2019-01-25T13:15:00Z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